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/>
      </w:pPr>
      <w:r>
        <w:rPr>
          <w:rFonts w:eastAsia="Arial" w:cs="Arial"/>
          <w:b/>
          <w:sz w:val="24"/>
          <w:szCs w:val="24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sz w:val="24"/>
          <w:szCs w:val="24"/>
        </w:rPr>
        <w:t>1.1. Processo Administrativo nº _____/2025.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720" w:hanging="0"/>
        <w:contextualSpacing/>
        <w:jc w:val="both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</w:rPr>
      </w:pPr>
      <w:r>
        <w:rPr>
          <w:rFonts w:eastAsia="Arial" w:cs="Arial"/>
          <w:b/>
          <w:bCs w:val="false"/>
          <w:color w:val="auto"/>
          <w:kern w:val="0"/>
          <w:sz w:val="24"/>
          <w:szCs w:val="24"/>
          <w:lang w:val="pt-BR" w:eastAsia="zh-CN" w:bidi="ar-SA"/>
        </w:rPr>
        <w:t>Aquisição de materiais diversos de construção</w:t>
      </w:r>
      <w:r>
        <w:rPr>
          <w:rFonts w:eastAsia="Arial" w:cs="Arial"/>
          <w:b/>
          <w:bCs/>
          <w:color w:val="auto"/>
          <w:kern w:val="0"/>
          <w:sz w:val="24"/>
          <w:szCs w:val="24"/>
          <w:lang w:val="pt-BR" w:eastAsia="zh-CN" w:bidi="ar-SA"/>
        </w:rPr>
        <w:t xml:space="preserve">, </w:t>
      </w:r>
      <w:r>
        <w:rPr>
          <w:rFonts w:eastAsia="Arial" w:cs="Arial"/>
          <w:b/>
          <w:bCs w:val="false"/>
          <w:color w:val="auto"/>
          <w:kern w:val="0"/>
          <w:sz w:val="24"/>
          <w:szCs w:val="24"/>
          <w:lang w:val="pt-BR" w:eastAsia="zh-CN" w:bidi="ar-SA"/>
        </w:rPr>
        <w:t>para atendimento das necessidades de manutenção corretiva e preventiva e reparos gerais para os bens patrimoniais da Prefeitura Municipal de São Gabriel da Palha – VIA SISTEMA DE REGISTRO DE PREÇOS.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sz w:val="24"/>
          <w:szCs w:val="24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2. LOCAL DE </w:t>
      </w:r>
      <w:r>
        <w:rPr>
          <w:rFonts w:eastAsia="Times New Roman" w:cs="Arial"/>
          <w:b/>
          <w:color w:val="auto"/>
          <w:kern w:val="0"/>
          <w:sz w:val="24"/>
          <w:szCs w:val="24"/>
          <w:lang w:val="pt-BR" w:eastAsia="zh-CN" w:bidi="ar-SA"/>
        </w:rPr>
        <w:t>ENTREGA</w:t>
      </w:r>
    </w:p>
    <w:p>
      <w:pPr>
        <w:pStyle w:val="Normal"/>
        <w:jc w:val="both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Rua: Daniel</w:t>
      </w:r>
      <w:r>
        <w:rPr>
          <w:rFonts w:eastAsia="Times New Roman" w:cs="Arial"/>
          <w:b/>
          <w:color w:val="auto"/>
          <w:kern w:val="0"/>
          <w:sz w:val="24"/>
          <w:szCs w:val="24"/>
          <w:lang w:val="pt-BR" w:eastAsia="zh-CN" w:bidi="ar-SA"/>
        </w:rPr>
        <w:t xml:space="preserve"> Comboni </w:t>
      </w:r>
      <w:r>
        <w:rPr>
          <w:rFonts w:cs="Arial"/>
          <w:b/>
          <w:sz w:val="24"/>
          <w:szCs w:val="24"/>
        </w:rPr>
        <w:t>– Bairro Vila Comboni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Departamento de </w:t>
      </w:r>
      <w:r>
        <w:rPr>
          <w:rFonts w:eastAsia="Times New Roman" w:cs="Arial"/>
          <w:b/>
          <w:color w:val="auto"/>
          <w:kern w:val="0"/>
          <w:sz w:val="24"/>
          <w:szCs w:val="24"/>
          <w:lang w:val="pt-BR" w:eastAsia="zh-CN" w:bidi="ar-SA"/>
        </w:rPr>
        <w:t>Parque de Artefatos e Oficina Mecânica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eastAsia="Arial" w:cs="Arial"/>
          <w:b/>
          <w:bCs w:val="false"/>
          <w:color w:val="auto"/>
          <w:kern w:val="0"/>
          <w:sz w:val="24"/>
          <w:szCs w:val="24"/>
          <w:lang w:val="pt-BR" w:eastAsia="zh-CN" w:bidi="ar-SA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3. CONTATO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>Tel:</w:t>
      </w:r>
      <w:r>
        <w:rPr>
          <w:rFonts w:cs="Arial"/>
          <w:b w:val="false"/>
          <w:bCs w:val="false"/>
          <w:sz w:val="24"/>
          <w:szCs w:val="24"/>
        </w:rPr>
        <w:t xml:space="preserve"> (27) 99982-4121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Email: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obras</w:t>
      </w:r>
      <w:r>
        <w:rPr>
          <w:rFonts w:cs="Arial"/>
          <w:b w:val="false"/>
          <w:bCs w:val="false"/>
          <w:sz w:val="24"/>
          <w:szCs w:val="24"/>
        </w:rPr>
        <w:t>@saogabriel.es.gov.br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Responsável: </w:t>
      </w:r>
      <w:r>
        <w:rPr>
          <w:rFonts w:cs="Arial"/>
          <w:b w:val="false"/>
          <w:bCs w:val="false"/>
          <w:sz w:val="24"/>
          <w:szCs w:val="24"/>
        </w:rPr>
        <w:t xml:space="preserve">Secretaria Municipal de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Obras e Desenvolvimento Urbano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shd w:val="clear" w:color="auto" w:fill="FFFFFF"/>
        <w:spacing w:lineRule="auto" w:line="360" w:before="0" w:after="0"/>
        <w:jc w:val="both"/>
        <w:textAlignment w:val="baseline"/>
        <w:rPr/>
      </w:pPr>
      <w:r>
        <w:rPr>
          <w:rFonts w:eastAsia="Times New Roman" w:cs="Calibri" w:cstheme="minorHAnsi"/>
          <w:b/>
          <w:bCs/>
          <w:color w:val="000000"/>
          <w:sz w:val="24"/>
          <w:szCs w:val="24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eastAsia="Arial" w:cs="Arial"/>
          <w:b/>
          <w:bCs/>
          <w:sz w:val="24"/>
          <w:szCs w:val="24"/>
        </w:rPr>
        <w:t xml:space="preserve">4.1. </w:t>
      </w:r>
      <w:r>
        <w:rPr>
          <w:rFonts w:eastAsia="Arial" w:cs="Arial"/>
          <w:b w:val="false"/>
          <w:bCs w:val="false"/>
          <w:sz w:val="24"/>
          <w:szCs w:val="24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5. DESCRIÇÃO DA NECESSIDADE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Arial" w:cs="Arial"/>
          <w:b/>
          <w:bCs/>
          <w:color w:val="auto"/>
          <w:sz w:val="24"/>
          <w:szCs w:val="24"/>
        </w:rPr>
        <w:t>5.1.</w:t>
      </w:r>
      <w:r>
        <w:rPr>
          <w:rFonts w:eastAsia="Arial" w:cs="Arial"/>
          <w:color w:val="auto"/>
          <w:sz w:val="24"/>
          <w:szCs w:val="24"/>
        </w:rPr>
        <w:t xml:space="preserve"> </w:t>
      </w:r>
      <w:r>
        <w:rPr>
          <w:rFonts w:eastAsia="Arial" w:cs="Arial"/>
          <w:b w:val="false"/>
          <w:bCs w:val="false"/>
          <w:color w:val="auto"/>
          <w:sz w:val="24"/>
          <w:szCs w:val="24"/>
        </w:rPr>
        <w:t>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Arial" w:cs="Arial"/>
          <w:b/>
          <w:bCs/>
          <w:color w:val="auto"/>
          <w:sz w:val="24"/>
          <w:szCs w:val="24"/>
        </w:rPr>
        <w:t xml:space="preserve">5.2. </w:t>
      </w:r>
      <w:r>
        <w:rPr>
          <w:rFonts w:eastAsia="Arial" w:cs="Times New Roman"/>
          <w:b w:val="false"/>
          <w:bCs w:val="false"/>
          <w:color w:val="auto"/>
          <w:sz w:val="24"/>
          <w:szCs w:val="24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Arial" w:cs="Arial"/>
          <w:b/>
          <w:bCs/>
          <w:color w:val="auto"/>
          <w:sz w:val="24"/>
          <w:szCs w:val="24"/>
        </w:rPr>
        <w:t>5.3.</w:t>
      </w:r>
      <w:r>
        <w:rPr>
          <w:rFonts w:eastAsia="Arial" w:cs="Arial"/>
          <w:b w:val="false"/>
          <w:bCs w:val="false"/>
          <w:color w:val="auto"/>
          <w:sz w:val="24"/>
          <w:szCs w:val="24"/>
        </w:rPr>
        <w:t xml:space="preserve"> R</w:t>
      </w:r>
      <w:r>
        <w:rPr>
          <w:rFonts w:eastAsia="Arial" w:cs="Times New Roman"/>
          <w:b w:val="false"/>
          <w:bCs w:val="false"/>
          <w:color w:val="000000"/>
          <w:sz w:val="24"/>
          <w:szCs w:val="24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Arial" w:cs="Arial"/>
          <w:b/>
          <w:bCs/>
          <w:color w:val="auto"/>
          <w:sz w:val="24"/>
          <w:szCs w:val="24"/>
        </w:rPr>
        <w:t>5.4.</w:t>
      </w:r>
      <w:r>
        <w:rPr>
          <w:rFonts w:eastAsia="Arial" w:cs="Arial"/>
          <w:sz w:val="24"/>
          <w:szCs w:val="24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iCs/>
          <w:sz w:val="24"/>
          <w:szCs w:val="24"/>
        </w:rPr>
        <w:t>6. ÁREA REQUISITANTE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</w:rPr>
        <w:t xml:space="preserve">Secretaria Municipal de </w:t>
      </w:r>
      <w:r>
        <w:rPr>
          <w:rFonts w:eastAsia="Arial" w:cs="Arial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>Obras e Desenvolvimento Urbano.</w:t>
      </w:r>
    </w:p>
    <w:p>
      <w:pPr>
        <w:pStyle w:val="Normal"/>
        <w:spacing w:lineRule="auto" w:line="240" w:before="0" w:after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40" w:before="0" w:after="0"/>
        <w:ind w:left="405" w:hanging="0"/>
        <w:jc w:val="both"/>
        <w:rPr>
          <w:rFonts w:ascii="Times New Roman" w:hAnsi="Times New Roman" w:eastAsia="Arial" w:cs="Arial"/>
          <w:i/>
          <w:i/>
        </w:rPr>
      </w:pPr>
      <w:r>
        <w:rPr>
          <w:rFonts w:eastAsia="Arial" w:cs="Arial"/>
          <w:i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7. DESCRIÇÃO DOS REQUISITOS DA CONTRATAÇÃO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7.1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O produto deverá ser entregue nas mesmas marcas indicadas nas propostas de preços vencedoras do certame;</w:t>
      </w:r>
    </w:p>
    <w:p>
      <w:pPr>
        <w:pStyle w:val="Default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7.2. </w:t>
      </w:r>
      <w:r>
        <w:rPr>
          <w:sz w:val="24"/>
          <w:szCs w:val="24"/>
        </w:rPr>
        <w:t>Os produtos a serem entregues deverão ser de ótima qualidade, atender às especificações técnicas exigidas e obedecer rigorosamente:</w:t>
      </w:r>
    </w:p>
    <w:p>
      <w:pPr>
        <w:pStyle w:val="Default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a) às normas e especificações constantes neste Termo de Referência; </w:t>
      </w:r>
    </w:p>
    <w:p>
      <w:pPr>
        <w:pStyle w:val="Default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b) às normas da ANVISA e INMETRO, conforme especificação e necessidade de cada produto; </w:t>
      </w:r>
    </w:p>
    <w:p>
      <w:pPr>
        <w:pStyle w:val="Default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c) às normas internacionais consagradas, na falta das normas da ABNT; </w:t>
      </w:r>
    </w:p>
    <w:p>
      <w:pPr>
        <w:pStyle w:val="Default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d) às prescrições e recomendações dos fabricantes; </w:t>
      </w:r>
    </w:p>
    <w:p>
      <w:pPr>
        <w:pStyle w:val="Default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>7.3.</w:t>
      </w:r>
      <w:r>
        <w:rPr>
          <w:sz w:val="24"/>
          <w:szCs w:val="24"/>
        </w:rPr>
        <w:t xml:space="preserve">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7.4.</w:t>
      </w:r>
      <w:r>
        <w:rPr>
          <w:sz w:val="24"/>
          <w:szCs w:val="24"/>
        </w:rPr>
        <w:t xml:space="preserve"> Constatadas irregularidades nos entrega, a Prefeitura Municipal de São Gabriel da Palha poderá: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7.4.1.</w:t>
      </w:r>
      <w:r>
        <w:rPr>
          <w:sz w:val="24"/>
          <w:szCs w:val="24"/>
        </w:rPr>
        <w:t xml:space="preserve">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7.4.2.</w:t>
      </w:r>
      <w:r>
        <w:rPr>
          <w:sz w:val="24"/>
          <w:szCs w:val="24"/>
        </w:rPr>
        <w:t xml:space="preserve"> Se disser respeito à diferença de quantidade ou de partes, determinar sua complementação ou cancelar em parte ou totalmente a ordem de fornecimento, sem prejuízo das penalidades cabíveis;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  <w:shd w:fill="FFFFFF" w:val="clear"/>
        </w:rPr>
        <w:t>7.5. Não serão aceitos materiais fora das especificações constantes neste Termo de Referência.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  <w:shd w:fill="FFFFFF" w:val="clear"/>
        </w:rPr>
        <w:t>7.6. OS MATERIAIS DEVERÃO SER ENTREGUES NO PARQUE DE ARTEFATOS E OFICINA MECÂNICA.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</w:rPr>
        <w:t>7.7.</w:t>
      </w:r>
      <w:r>
        <w:rPr>
          <w:rFonts w:eastAsia="Arial" w:cs="Arial"/>
          <w:b w:val="false"/>
          <w:bCs w:val="false"/>
          <w:sz w:val="24"/>
          <w:szCs w:val="24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eastAsia="Arial" w:cs="Arial"/>
          <w:b w:val="false"/>
          <w:b w:val="false"/>
          <w:bCs w:val="false"/>
          <w:sz w:val="24"/>
          <w:szCs w:val="24"/>
        </w:rPr>
      </w:pPr>
      <w:r>
        <w:rPr>
          <w:rFonts w:eastAsia="Arial"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8. ESTIMATIVA DAS QUANTIDADES A SEREM CONTRATADA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8.1. </w:t>
      </w:r>
      <w:r>
        <w:rPr>
          <w:rFonts w:cs="Arial"/>
          <w:sz w:val="24"/>
          <w:szCs w:val="24"/>
        </w:rPr>
        <w:t xml:space="preserve">A relação do item necessário para contemplar a solução, bem como a estimativa da quantidade a ser contratada 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constam nas solicitações de compra de materiais nº 12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6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 xml:space="preserve">/2025 que faz parte integrante deste ETP.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/>
          <w:b/>
          <w:sz w:val="24"/>
          <w:szCs w:val="24"/>
        </w:rPr>
        <w:t>9.  ESTIMATIVA DO VALOR DA CONTRATAÇÃO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/>
          <w:b/>
          <w:sz w:val="24"/>
          <w:szCs w:val="24"/>
        </w:rPr>
        <w:t xml:space="preserve">9.1. </w:t>
      </w:r>
      <w:r>
        <w:rPr>
          <w:rFonts w:cs="Arial"/>
          <w:color w:val="000000"/>
          <w:sz w:val="24"/>
          <w:szCs w:val="24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9.2. </w:t>
      </w:r>
      <w:r>
        <w:rPr>
          <w:rFonts w:cs="Arial"/>
          <w:b w:val="false"/>
          <w:bCs/>
          <w:color w:val="000000"/>
          <w:sz w:val="24"/>
          <w:szCs w:val="24"/>
        </w:rPr>
        <w:t xml:space="preserve">Conforme </w:t>
      </w:r>
      <w:r>
        <w:rPr>
          <w:rFonts w:cs="Arial"/>
          <w:b w:val="false"/>
          <w:bCs/>
          <w:sz w:val="24"/>
          <w:szCs w:val="24"/>
        </w:rPr>
        <w:t>os requisitos estabelecidos para a contratação, foi realizada pesquisa de mercado no Mercado Local e/ou Portal Nacional de Compras Públicas (PNCP) e/ou Contratos/Atas Vigentes do Município, para mapear as soluções disponíveis, conforme planilha que faz parte integrante deste ETP.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/>
          <w:sz w:val="24"/>
          <w:szCs w:val="24"/>
        </w:rPr>
      </w:pPr>
      <w:r>
        <w:rPr>
          <w:rFonts w:cs="Arial"/>
          <w:b w:val="false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/>
          <w:sz w:val="24"/>
          <w:szCs w:val="24"/>
        </w:rPr>
      </w:pPr>
      <w:r>
        <w:rPr>
          <w:rFonts w:cs="Arial"/>
          <w:b w:val="false"/>
          <w:bCs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10.1</w:t>
      </w:r>
      <w:r>
        <w:rPr>
          <w:rFonts w:cs="Arial"/>
          <w:sz w:val="24"/>
          <w:szCs w:val="24"/>
        </w:rPr>
        <w:t xml:space="preserve"> </w:t>
      </w:r>
      <w:r>
        <w:rPr>
          <w:rFonts w:eastAsia="Arial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 w:val="false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shd w:fill="auto" w:val="clear"/>
          <w:lang w:val="pt-BR" w:eastAsia="zh-CN" w:bidi="ar-SA"/>
        </w:rPr>
      </w:pPr>
      <w:r>
        <w:rPr>
          <w:rFonts w:eastAsia="Arial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cs="Arial"/>
          <w:b/>
          <w:sz w:val="24"/>
          <w:szCs w:val="24"/>
          <w:shd w:fill="auto" w:val="clear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cs="Arial"/>
          <w:b/>
          <w:sz w:val="24"/>
          <w:szCs w:val="24"/>
          <w:shd w:fill="auto" w:val="clear"/>
        </w:rPr>
        <w:t xml:space="preserve">11.1 </w:t>
      </w:r>
      <w:r>
        <w:rPr>
          <w:rFonts w:cs="Arial"/>
          <w:sz w:val="24"/>
          <w:szCs w:val="24"/>
          <w:shd w:fill="auto" w:val="clear"/>
        </w:rPr>
        <w:t xml:space="preserve">O valor global estimado da contratação é de R$ </w:t>
      </w:r>
      <w:r>
        <w:rPr>
          <w:rFonts w:eastAsia="Arial" w:cs="Arial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>272.069,00</w:t>
      </w:r>
      <w:r>
        <w:rPr>
          <w:rFonts w:cs="Arial"/>
          <w:b/>
          <w:bCs/>
          <w:sz w:val="24"/>
          <w:szCs w:val="24"/>
          <w:shd w:fill="auto" w:val="clear"/>
        </w:rPr>
        <w:t xml:space="preserve">, </w:t>
      </w:r>
      <w:r>
        <w:rPr>
          <w:rFonts w:cs="Arial"/>
          <w:b w:val="false"/>
          <w:bCs w:val="false"/>
          <w:sz w:val="24"/>
          <w:szCs w:val="24"/>
          <w:shd w:fill="auto" w:val="clear"/>
        </w:rPr>
        <w:t xml:space="preserve">conforme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Planilha Orçamentária que acompanha este ETP</w:t>
      </w:r>
      <w:r>
        <w:rPr>
          <w:rFonts w:cs="Arial"/>
          <w:sz w:val="24"/>
          <w:szCs w:val="24"/>
          <w:shd w:fill="auto" w:val="clear"/>
        </w:rPr>
        <w:t>.</w:t>
      </w:r>
    </w:p>
    <w:p>
      <w:pPr>
        <w:pStyle w:val="Normal"/>
        <w:spacing w:lineRule="auto" w:line="24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cs="Arial;Arial"/>
          <w:b/>
          <w:sz w:val="24"/>
          <w:szCs w:val="24"/>
          <w:shd w:fill="auto" w:val="clear"/>
        </w:rPr>
        <w:t xml:space="preserve">11.2. </w:t>
      </w:r>
      <w:r>
        <w:rPr>
          <w:rFonts w:cs="Arial;Arial"/>
          <w:b w:val="false"/>
          <w:bCs w:val="false"/>
          <w:sz w:val="24"/>
          <w:szCs w:val="24"/>
          <w:shd w:fill="auto" w:val="clear"/>
        </w:rPr>
        <w:t>Para questões de pagamento, a</w:t>
      </w:r>
      <w:r>
        <w:rPr>
          <w:rFonts w:cs="Arial"/>
          <w:b w:val="false"/>
          <w:bCs w:val="false"/>
          <w:color w:val="000000"/>
          <w:sz w:val="24"/>
          <w:szCs w:val="24"/>
          <w:shd w:fill="auto" w:val="clear"/>
        </w:rPr>
        <w:t xml:space="preserve"> Contratada após cada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entrega</w:t>
      </w:r>
      <w:r>
        <w:rPr>
          <w:rFonts w:cs="Arial"/>
          <w:b w:val="false"/>
          <w:bCs w:val="false"/>
          <w:color w:val="000000"/>
          <w:sz w:val="24"/>
          <w:szCs w:val="24"/>
          <w:shd w:fill="auto" w:val="clear"/>
        </w:rPr>
        <w:t xml:space="preserve"> encaminhará requerimento protocolado no protocolo geral desta Prefeitura. </w:t>
      </w:r>
      <w:r>
        <w:rPr>
          <w:rFonts w:cs="Arial"/>
          <w:color w:val="000000"/>
          <w:sz w:val="24"/>
          <w:szCs w:val="24"/>
          <w:shd w:fill="auto" w:val="clear"/>
        </w:rPr>
        <w:t xml:space="preserve">Juntamente com o requerimento a contratada deverá apresentar cópias reprográficas devidamente autenticadas dos comprovantes de regularidade junto ao INSS, FGTS, encargos trabalhistas, previdenciários, fiscais e comerciais resultantes da execução do contrato. </w:t>
      </w:r>
      <w:r>
        <w:rPr>
          <w:rFonts w:cs="Arial"/>
          <w:b w:val="false"/>
          <w:bCs w:val="false"/>
          <w:color w:val="000000"/>
          <w:sz w:val="24"/>
          <w:szCs w:val="24"/>
          <w:shd w:fill="auto" w:val="clear"/>
        </w:rPr>
        <w:t>Os pagamentos serão efetuados mediante termo de aprovação fornecido pela Secretaria Municipal de Obras e Desenvolvimento Urbano e apresentação da nota fiscal, sem emendas ou rasuras, que será devidamente conferida e visada pela divisão competente.</w:t>
      </w:r>
    </w:p>
    <w:p>
      <w:pPr>
        <w:pStyle w:val="Normal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  <w:highlight w:val="yellow"/>
        </w:rPr>
      </w:pPr>
      <w:r>
        <w:rPr>
          <w:rFonts w:cs="Arial"/>
          <w:b w:val="false"/>
          <w:bCs w:val="false"/>
          <w:sz w:val="24"/>
          <w:szCs w:val="24"/>
          <w:highlight w:val="yellow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cs="Arial"/>
          <w:b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highlight w:val="yellow"/>
        </w:rPr>
      </w:pPr>
      <w:r>
        <w:rPr>
          <w:rFonts w:cs="Arial"/>
          <w:b/>
          <w:color w:val="auto"/>
          <w:sz w:val="24"/>
          <w:szCs w:val="24"/>
        </w:rPr>
        <w:t>12. JUS</w:t>
      </w:r>
      <w:r>
        <w:rPr>
          <w:rFonts w:cs="Arial"/>
          <w:b/>
          <w:sz w:val="24"/>
          <w:szCs w:val="24"/>
        </w:rPr>
        <w:t>TIFICATIVA PARA O PARCELAMENTO OU NÃO DA SOLUÇÃO</w:t>
      </w:r>
    </w:p>
    <w:p>
      <w:pPr>
        <w:pStyle w:val="Normal"/>
        <w:spacing w:before="0" w:after="0"/>
        <w:ind w:right="-425" w:hanging="0"/>
        <w:jc w:val="both"/>
        <w:rPr/>
      </w:pPr>
      <w:r>
        <w:rPr>
          <w:rFonts w:cs="Arial"/>
          <w:b/>
          <w:bCs/>
          <w:sz w:val="24"/>
          <w:szCs w:val="24"/>
        </w:rPr>
        <w:t>12.1.</w:t>
      </w:r>
      <w:r>
        <w:rPr>
          <w:rFonts w:cs="Arial"/>
          <w:sz w:val="24"/>
          <w:szCs w:val="24"/>
        </w:rPr>
        <w:t xml:space="preserve">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O valor total orçado e estimado da contratação é de R$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272.069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,00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.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40" w:before="0" w:after="0"/>
        <w:ind w:left="0" w:right="0" w:hanging="0"/>
        <w:jc w:val="both"/>
        <w:rPr/>
      </w:pPr>
      <w:r>
        <w:rPr>
          <w:rFonts w:cs="Arial"/>
          <w:b/>
          <w:bCs/>
          <w:sz w:val="24"/>
          <w:szCs w:val="24"/>
        </w:rPr>
        <w:t>13.1.</w:t>
      </w:r>
      <w:r>
        <w:rPr>
          <w:rFonts w:cs="Arial"/>
          <w:sz w:val="24"/>
          <w:szCs w:val="24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14. RESULTADOS PRETENDIDOS COM A CONTRATAÇÃO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SimSun;宋体" w:cs="Times New Roman"/>
          <w:color w:val="000000"/>
          <w:kern w:val="2"/>
          <w:sz w:val="24"/>
          <w:szCs w:val="24"/>
          <w:shd w:fill="auto" w:val="clear"/>
          <w:lang w:val="pt-BR" w:eastAsia="zh-CN" w:bidi="hi-IN"/>
        </w:rPr>
      </w:pPr>
      <w:r>
        <w:rPr>
          <w:rFonts w:eastAsia="SimSun;宋体" w:cs="Times New Roman"/>
          <w:color w:val="000000"/>
          <w:kern w:val="2"/>
          <w:sz w:val="24"/>
          <w:szCs w:val="24"/>
          <w:shd w:fill="auto" w:val="clear"/>
          <w:lang w:val="pt-BR" w:eastAsia="zh-CN" w:bidi="hi-IN"/>
        </w:rPr>
        <w:t>Agilidade na aquisição.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SimSun;宋体" w:cs="Times New Roman"/>
          <w:color w:val="000000"/>
          <w:kern w:val="2"/>
          <w:sz w:val="24"/>
          <w:szCs w:val="24"/>
          <w:shd w:fill="auto" w:val="clear"/>
          <w:lang w:val="pt-BR" w:eastAsia="zh-CN" w:bidi="hi-IN"/>
        </w:rPr>
      </w:pPr>
      <w:r>
        <w:rPr>
          <w:rFonts w:eastAsia="SimSun;宋体" w:cs="Times New Roman"/>
          <w:color w:val="000000"/>
          <w:kern w:val="2"/>
          <w:sz w:val="24"/>
          <w:szCs w:val="24"/>
          <w:shd w:fill="auto" w:val="clear"/>
          <w:lang w:val="pt-BR" w:eastAsia="zh-CN" w:bidi="hi-IN"/>
        </w:rPr>
        <w:t>Melhor planejamento dos serviços diários.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cs="Times New Roman"/>
          <w:sz w:val="24"/>
          <w:szCs w:val="24"/>
          <w:shd w:fill="auto" w:val="clear"/>
        </w:rPr>
        <w:t>Melhoria no atendimento dos pedidos de todas as Secretarias.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Melhoria no atendimento ao cidadão.</w:t>
      </w:r>
    </w:p>
    <w:p>
      <w:pPr>
        <w:pStyle w:val="Normal"/>
        <w:spacing w:lineRule="auto" w:line="240" w:before="0" w:after="0"/>
        <w:jc w:val="both"/>
        <w:rPr>
          <w:rFonts w:eastAsia="Arial" w:cs="Arial"/>
          <w:b w:val="false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</w:pPr>
      <w:r>
        <w:rPr>
          <w:rFonts w:eastAsia="Arial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 PROVIDÊNCIAS A SEREM ADOTADAS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15.1.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A Administração Pública contará com as Secretarias requisitantes responsável por acompanhar a entrega dos produtos, bem como conferência das especificações descritas neste ETP.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Arial"/>
          <w:b w:val="false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</w:pP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cs="Arial"/>
          <w:b/>
          <w:sz w:val="24"/>
          <w:szCs w:val="24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16.1.</w:t>
      </w:r>
      <w:r>
        <w:rPr>
          <w:rFonts w:cs="Arial"/>
          <w:b w:val="false"/>
          <w:bCs w:val="false"/>
          <w:sz w:val="24"/>
          <w:szCs w:val="24"/>
        </w:rPr>
        <w:t xml:space="preserve"> </w:t>
      </w:r>
      <w:r>
        <w:rPr>
          <w:rFonts w:eastAsia="Times New Roman" w:cs="Arial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4"/>
          <w:szCs w:val="24"/>
          <w:lang w:val="pt-BR" w:eastAsia="zh-CN" w:bidi="ar-SA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Arial"/>
          <w:b/>
          <w:sz w:val="24"/>
          <w:szCs w:val="24"/>
        </w:rPr>
        <w:t>17. DECLARAÇÕES DE VIABILIDADE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sz w:val="24"/>
          <w:szCs w:val="24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18. JUSTIFICATIVAS DA VIABILIDADE</w:t>
      </w:r>
    </w:p>
    <w:p>
      <w:pPr>
        <w:pStyle w:val="Corpodotexto"/>
        <w:spacing w:lineRule="auto" w:line="240" w:before="0" w:after="0"/>
        <w:jc w:val="both"/>
        <w:rPr/>
      </w:pPr>
      <w:r>
        <w:rPr>
          <w:rFonts w:cs="Arial"/>
          <w:sz w:val="24"/>
          <w:szCs w:val="24"/>
        </w:rPr>
        <w:t xml:space="preserve">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40" w:before="0" w:after="0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cs="Arial"/>
          <w:sz w:val="24"/>
          <w:szCs w:val="24"/>
        </w:rPr>
        <w:t xml:space="preserve">São Gabriel da Palha, 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25</w:t>
      </w:r>
      <w:r>
        <w:rPr>
          <w:rFonts w:cs="Arial"/>
          <w:sz w:val="24"/>
          <w:szCs w:val="24"/>
        </w:rPr>
        <w:t xml:space="preserve"> de 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Março</w:t>
      </w:r>
      <w:r>
        <w:rPr>
          <w:rFonts w:cs="Arial"/>
          <w:sz w:val="24"/>
          <w:szCs w:val="24"/>
        </w:rPr>
        <w:t xml:space="preserve"> de 2025.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19.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Elaborado por:</w:t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Arial" w:cs="Arial"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b/>
                <w:b/>
                <w:bCs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Arial"/>
                <w:b/>
                <w:bCs/>
                <w:color w:val="auto"/>
                <w:kern w:val="0"/>
                <w:sz w:val="24"/>
                <w:szCs w:val="24"/>
                <w:lang w:val="pt-BR" w:eastAsia="zh-CN" w:bidi="ar-SA"/>
              </w:rPr>
              <w:t>Francielly Mação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Arial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4"/>
                <w:szCs w:val="24"/>
                <w:lang w:val="pt-BR" w:eastAsia="zh-CN" w:bidi="ar-SA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Mat. nº </w:t>
            </w:r>
            <w:r>
              <w:rPr>
                <w:rFonts w:eastAsia="Times New Roman" w:cs="Arial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val="pt-BR" w:eastAsia="zh-CN" w:bidi="ar-SA"/>
              </w:rPr>
              <w:t>2972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tLeast" w:line="20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pt-BR" w:eastAsia="zh-CN" w:bidi="ar-SA"/>
              </w:rPr>
              <w:t>Maikel Paiva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true"/>
              <w:bidi w:val="0"/>
              <w:spacing w:lineRule="atLeast" w:line="200" w:before="0" w:after="0"/>
              <w:ind w:left="0" w:right="0" w:hanging="0"/>
              <w:jc w:val="center"/>
              <w:rPr/>
            </w:pPr>
            <w:bookmarkStart w:id="0" w:name="_GoBack"/>
            <w:bookmarkEnd w:id="0"/>
            <w:r>
              <w:rPr>
                <w:rFonts w:eastAsia="Arial" w:cs="Arial"/>
                <w:b w:val="false"/>
                <w:bCs w:val="false"/>
                <w:sz w:val="24"/>
                <w:szCs w:val="24"/>
              </w:rPr>
              <w:t xml:space="preserve">Secretário Municipal de </w:t>
            </w:r>
            <w:r>
              <w:rPr>
                <w:rFonts w:eastAsia="Arial" w:cs="Arial"/>
                <w:b w:val="false"/>
                <w:bCs w:val="false"/>
                <w:color w:val="auto"/>
                <w:kern w:val="0"/>
                <w:sz w:val="24"/>
                <w:szCs w:val="24"/>
                <w:lang w:val="pt-BR" w:eastAsia="zh-CN" w:bidi="ar-SA"/>
              </w:rPr>
              <w:t>Obras e Desenvolvimento Urbano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true"/>
              <w:bidi w:val="0"/>
              <w:spacing w:lineRule="atLeast" w:line="200" w:before="0" w:after="0"/>
              <w:ind w:left="0" w:right="0" w:hanging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Arial" w:cs="Arial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val="pt-BR" w:eastAsia="zh-CN" w:bidi="ar-SA"/>
              </w:rPr>
              <w:t>Decreto nº 4.698/2025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pBdr>
        <w:top w:val="single" w:sz="4" w:space="0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Nmerodepgina"/>
        <w:rFonts w:cs="Tahoma" w:ascii="Tahoma" w:hAnsi="Tahoma"/>
        <w:sz w:val="18"/>
        <w:szCs w:val="18"/>
      </w:rPr>
      <w:t>Praça Vicente Glazar, 159, Glória | São Gabriel da Palha-ES | CEP 29780 000</w:t>
    </w:r>
  </w:p>
  <w:p>
    <w:pPr>
      <w:pStyle w:val="Normal"/>
      <w:jc w:val="center"/>
      <w:rPr/>
    </w:pPr>
    <w:r>
      <w:rPr>
        <w:rStyle w:val="Nmerodepgina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Obras e Desenvolvimento Urbano</w:t>
    </w:r>
  </w:p>
  <w:p>
    <w:pPr>
      <w:pStyle w:val="Cabealho"/>
      <w:rPr>
        <w:rFonts w:ascii="Arial Narrow" w:hAnsi="Arial Narrow" w:cs="Arial Narrow"/>
        <w:b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anish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fals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Link da Internet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link w:val="Ttulo1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link w:val="Ttulo4"/>
    <w:qFormat/>
    <w:rsid w:val="0017412d"/>
    <w:rPr>
      <w:sz w:val="24"/>
      <w:lang w:eastAsia="zh-CN"/>
    </w:rPr>
  </w:style>
  <w:style w:type="character" w:styleId="CorpodetextoChar" w:customStyle="1">
    <w:name w:val="Corpo de texto Char"/>
    <w:link w:val="Corpodetexto"/>
    <w:qFormat/>
    <w:rsid w:val="0017412d"/>
    <w:rPr>
      <w:lang w:eastAsia="zh-CN"/>
    </w:rPr>
  </w:style>
  <w:style w:type="character" w:styleId="CabealhoChar1" w:customStyle="1">
    <w:name w:val="Cabeçalho Char1"/>
    <w:link w:val="Cabealho"/>
    <w:qFormat/>
    <w:rsid w:val="0017412d"/>
    <w:rPr>
      <w:sz w:val="24"/>
      <w:lang w:eastAsia="zh-CN"/>
    </w:rPr>
  </w:style>
  <w:style w:type="character" w:styleId="RodapChar1" w:customStyle="1">
    <w:name w:val="Rodapé Char1"/>
    <w:link w:val="Rodap"/>
    <w:qFormat/>
    <w:rsid w:val="0017412d"/>
    <w:rPr>
      <w:sz w:val="24"/>
      <w:lang w:eastAsia="zh-CN"/>
    </w:rPr>
  </w:style>
  <w:style w:type="character" w:styleId="TextodebaloChar1" w:customStyle="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link w:val="Textodenotaderodap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WW8Num33z0">
    <w:name w:val="WW8Num33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24z0">
    <w:name w:val="WW8Num24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2z0">
    <w:name w:val="WW8Num22z0"/>
    <w:qFormat/>
    <w:rPr>
      <w:b w:val="false"/>
      <w:sz w:val="26"/>
    </w:rPr>
  </w:style>
  <w:style w:type="character" w:styleId="WW8Num22z1">
    <w:name w:val="WW8Num22z1"/>
    <w:qFormat/>
    <w:rPr>
      <w:b/>
      <w:sz w:val="18"/>
      <w:szCs w:val="18"/>
    </w:rPr>
  </w:style>
  <w:style w:type="character" w:styleId="Caracteresdenotadefim">
    <w:name w:val="Caracteres de nota de fim"/>
    <w:qFormat/>
    <w:rPr/>
  </w:style>
  <w:style w:type="character" w:styleId="Ncoradanotadefim">
    <w:name w:val="Âncora da nota de fim"/>
    <w:rPr>
      <w:vertAlign w:val="superscript"/>
    </w:rPr>
  </w:style>
  <w:style w:type="character" w:styleId="Nmerodepgina">
    <w:name w:val="Número de página"/>
    <w:basedOn w:val="Fontepargpadro1"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;Tahoma"/>
      <w:color w:val="auto"/>
      <w:kern w:val="2"/>
      <w:sz w:val="24"/>
      <w:szCs w:val="24"/>
      <w:lang w:val="pt-BR" w:eastAsia="pt-BR" w:bidi="hi-IN"/>
    </w:rPr>
  </w:style>
  <w:style w:type="paragraph" w:styleId="PargrafodaLista">
    <w:name w:val="Parágrafo da Lista"/>
    <w:basedOn w:val="Normal"/>
    <w:qFormat/>
    <w:pPr>
      <w:ind w:left="708" w:hanging="0"/>
    </w:pPr>
    <w:rPr>
      <w:rFonts w:ascii="Times New Roman" w:hAnsi="Times New Roman" w:cs="Times New Roman"/>
    </w:rPr>
  </w:style>
  <w:style w:type="paragraph" w:styleId="Notadefim">
    <w:name w:val="Endnote Text"/>
    <w:basedOn w:val="Normal"/>
    <w:pPr>
      <w:suppressLineNumbers/>
      <w:ind w:left="339" w:hanging="339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" w:cs="Times New Roman"/>
      <w:sz w:val="24"/>
      <w:szCs w:val="24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pt-BR" w:eastAsia="pt-BR" w:bidi="ar-SA"/>
    </w:rPr>
  </w:style>
  <w:style w:type="paragraph" w:styleId="BodyTextIndent2">
    <w:name w:val="Body Text Indent 2"/>
    <w:basedOn w:val="Normal"/>
    <w:qFormat/>
    <w:pPr>
      <w:spacing w:lineRule="auto" w:line="240" w:before="0" w:after="0"/>
      <w:ind w:left="4253" w:hanging="0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Padro">
    <w:name w:val="Padrão"/>
    <w:qFormat/>
    <w:pPr>
      <w:widowControl/>
      <w:tabs>
        <w:tab w:val="clear" w:pos="720"/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33">
    <w:name w:val="WW8Num33"/>
    <w:qFormat/>
  </w:style>
  <w:style w:type="numbering" w:styleId="WW8Num24">
    <w:name w:val="WW8Num24"/>
    <w:qFormat/>
  </w:style>
  <w:style w:type="numbering" w:styleId="WW8Num22">
    <w:name w:val="WW8Num22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Application>LibreOffice/7.2.2.2$Windows_X86_64 LibreOffice_project/02b2acce88a210515b4a5bb2e46cbfb63fe97d56</Application>
  <AppVersion>15.0000</AppVersion>
  <Pages>4</Pages>
  <Words>1176</Words>
  <Characters>6991</Characters>
  <CharactersWithSpaces>8099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2025-03-26T17:26:59Z</cp:lastPrinted>
  <dcterms:modified xsi:type="dcterms:W3CDTF">2025-03-26T17:27:01Z</dcterms:modified>
  <cp:revision>297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